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33F" w:rsidRPr="00BB3DF2" w:rsidRDefault="00B0385E" w:rsidP="00AE2724">
      <w:pPr>
        <w:jc w:val="both"/>
        <w:rPr>
          <w:rFonts w:cs="Tahoma"/>
        </w:rPr>
      </w:pPr>
      <w:r w:rsidRPr="00BB3DF2">
        <w:rPr>
          <w:rFonts w:cs="Tahoma"/>
          <w:noProof/>
        </w:rPr>
        <w:drawing>
          <wp:anchor distT="0" distB="0" distL="114300" distR="114300" simplePos="0" relativeHeight="251659264" behindDoc="0" locked="0" layoutInCell="1" allowOverlap="1" wp14:anchorId="5D9109AB" wp14:editId="202CC52E">
            <wp:simplePos x="0" y="0"/>
            <wp:positionH relativeFrom="column">
              <wp:posOffset>4381500</wp:posOffset>
            </wp:positionH>
            <wp:positionV relativeFrom="paragraph">
              <wp:posOffset>10160</wp:posOffset>
            </wp:positionV>
            <wp:extent cx="2025992" cy="711835"/>
            <wp:effectExtent l="0" t="0" r="0" b="0"/>
            <wp:wrapNone/>
            <wp:docPr id="2" name="Slika 2" descr="C:\Users\Primož\AppData\Local\Microsoft\Windows\INetCache\Content.Word\komen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imož\AppData\Local\Microsoft\Windows\INetCache\Content.Word\komentar.jpg"/>
                    <pic:cNvPicPr>
                      <a:picLocks noChangeAspect="1" noChangeArrowheads="1"/>
                    </pic:cNvPicPr>
                  </pic:nvPicPr>
                  <pic:blipFill>
                    <a:blip r:embed="rId8">
                      <a:extLst>
                        <a:ext uri="{BEBA8EAE-BF5A-486C-A8C5-ECC9F3942E4B}">
                          <a14:imgProps xmlns:a14="http://schemas.microsoft.com/office/drawing/2010/main">
                            <a14:imgLayer r:embed="rId9">
                              <a14:imgEffect>
                                <a14:saturation sat="20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25992" cy="711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3051" w:rsidRPr="00BB3DF2">
        <w:rPr>
          <w:rFonts w:cs="Tahoma"/>
          <w:noProof/>
        </w:rPr>
        <w:drawing>
          <wp:inline distT="0" distB="0" distL="0" distR="0" wp14:anchorId="70954A4D" wp14:editId="2A506EF3">
            <wp:extent cx="855876" cy="499892"/>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77257" cy="512380"/>
                    </a:xfrm>
                    <a:prstGeom prst="rect">
                      <a:avLst/>
                    </a:prstGeom>
                  </pic:spPr>
                </pic:pic>
              </a:graphicData>
            </a:graphic>
          </wp:inline>
        </w:drawing>
      </w:r>
    </w:p>
    <w:p w:rsidR="00A0633F" w:rsidRPr="00BB3DF2" w:rsidRDefault="00A0633F" w:rsidP="00AE2724">
      <w:pPr>
        <w:jc w:val="both"/>
        <w:rPr>
          <w:rFonts w:cs="Tahoma"/>
        </w:rPr>
      </w:pPr>
    </w:p>
    <w:p w:rsidR="001722D4" w:rsidRPr="00BB3DF2" w:rsidRDefault="00EF6FC6" w:rsidP="00BB3DF2">
      <w:pPr>
        <w:rPr>
          <w:rFonts w:cs="Tahoma"/>
          <w:b/>
          <w:color w:val="5C141F"/>
          <w:sz w:val="36"/>
          <w:szCs w:val="36"/>
        </w:rPr>
      </w:pPr>
      <w:r>
        <w:rPr>
          <w:rFonts w:cs="Tahoma"/>
          <w:b/>
          <w:color w:val="5C141F"/>
          <w:sz w:val="36"/>
          <w:szCs w:val="36"/>
        </w:rPr>
        <w:t>GZS: Dve k</w:t>
      </w:r>
      <w:r w:rsidR="004C0EB4">
        <w:rPr>
          <w:rFonts w:cs="Tahoma"/>
          <w:b/>
          <w:color w:val="5C141F"/>
          <w:sz w:val="36"/>
          <w:szCs w:val="36"/>
        </w:rPr>
        <w:t>ljučn</w:t>
      </w:r>
      <w:r>
        <w:rPr>
          <w:rFonts w:cs="Tahoma"/>
          <w:b/>
          <w:color w:val="5C141F"/>
          <w:sz w:val="36"/>
          <w:szCs w:val="36"/>
        </w:rPr>
        <w:t>i</w:t>
      </w:r>
      <w:r w:rsidR="004C0EB4">
        <w:rPr>
          <w:rFonts w:cs="Tahoma"/>
          <w:b/>
          <w:color w:val="5C141F"/>
          <w:sz w:val="36"/>
          <w:szCs w:val="36"/>
        </w:rPr>
        <w:t xml:space="preserve"> opozoril</w:t>
      </w:r>
      <w:r>
        <w:rPr>
          <w:rFonts w:cs="Tahoma"/>
          <w:b/>
          <w:color w:val="5C141F"/>
          <w:sz w:val="36"/>
          <w:szCs w:val="36"/>
        </w:rPr>
        <w:t xml:space="preserve">i </w:t>
      </w:r>
      <w:r w:rsidR="004C0EB4">
        <w:rPr>
          <w:rFonts w:cs="Tahoma"/>
          <w:b/>
          <w:color w:val="5C141F"/>
          <w:sz w:val="36"/>
          <w:szCs w:val="36"/>
        </w:rPr>
        <w:t>E</w:t>
      </w:r>
      <w:r>
        <w:rPr>
          <w:rFonts w:cs="Tahoma"/>
          <w:b/>
          <w:color w:val="5C141F"/>
          <w:sz w:val="36"/>
          <w:szCs w:val="36"/>
        </w:rPr>
        <w:t>vropske komisije</w:t>
      </w:r>
      <w:r w:rsidR="00937EF2">
        <w:rPr>
          <w:rFonts w:cs="Tahoma"/>
          <w:b/>
          <w:color w:val="5C141F"/>
          <w:sz w:val="36"/>
          <w:szCs w:val="36"/>
        </w:rPr>
        <w:t xml:space="preserve"> </w:t>
      </w:r>
    </w:p>
    <w:p w:rsidR="0037077C" w:rsidRPr="00BB3DF2" w:rsidRDefault="00EE1002" w:rsidP="00AE2724">
      <w:pPr>
        <w:jc w:val="both"/>
        <w:rPr>
          <w:rFonts w:cs="Tahoma"/>
          <w:sz w:val="16"/>
          <w:szCs w:val="16"/>
        </w:rPr>
      </w:pPr>
      <w:r w:rsidRPr="00BB3DF2">
        <w:rPr>
          <w:rFonts w:cs="Tahoma"/>
          <w:sz w:val="16"/>
          <w:szCs w:val="16"/>
        </w:rPr>
        <w:t>3.5.2016</w:t>
      </w:r>
    </w:p>
    <w:p w:rsidR="007A224F" w:rsidRDefault="007A224F" w:rsidP="00AE2724">
      <w:pPr>
        <w:shd w:val="clear" w:color="auto" w:fill="F2DBDB" w:themeFill="accent2" w:themeFillTint="33"/>
        <w:jc w:val="both"/>
        <w:rPr>
          <w:rFonts w:cs="Tahoma"/>
          <w:b/>
          <w:i/>
          <w:color w:val="000000"/>
          <w:sz w:val="22"/>
        </w:rPr>
      </w:pPr>
      <w:r>
        <w:rPr>
          <w:rFonts w:cs="Tahoma"/>
          <w:b/>
          <w:i/>
          <w:color w:val="000000"/>
          <w:sz w:val="22"/>
        </w:rPr>
        <w:t>A</w:t>
      </w:r>
      <w:r w:rsidR="00B80E26" w:rsidRPr="00BB3DF2">
        <w:rPr>
          <w:rFonts w:cs="Tahoma"/>
          <w:b/>
          <w:i/>
          <w:color w:val="000000"/>
          <w:sz w:val="22"/>
        </w:rPr>
        <w:t>ktualn</w:t>
      </w:r>
      <w:r>
        <w:rPr>
          <w:rFonts w:cs="Tahoma"/>
          <w:b/>
          <w:i/>
          <w:color w:val="000000"/>
          <w:sz w:val="22"/>
        </w:rPr>
        <w:t>a</w:t>
      </w:r>
      <w:r w:rsidR="00B80E26" w:rsidRPr="00BB3DF2">
        <w:rPr>
          <w:rFonts w:cs="Tahoma"/>
          <w:b/>
          <w:i/>
          <w:color w:val="000000"/>
          <w:sz w:val="22"/>
        </w:rPr>
        <w:t xml:space="preserve"> spomladansk</w:t>
      </w:r>
      <w:r>
        <w:rPr>
          <w:rFonts w:cs="Tahoma"/>
          <w:b/>
          <w:i/>
          <w:color w:val="000000"/>
          <w:sz w:val="22"/>
        </w:rPr>
        <w:t xml:space="preserve">a napoved Evropske komisije je relativno konservativna, vendar prinaša pomembni opozorili državi ter izvoznikom. Prvo je, da denar ne bo večno poceni ter da naj država izkoristi čas za znižanje javnega dolga. </w:t>
      </w:r>
      <w:r w:rsidR="00EF6FC6">
        <w:rPr>
          <w:rFonts w:cs="Tahoma"/>
          <w:b/>
          <w:i/>
          <w:color w:val="000000"/>
          <w:sz w:val="22"/>
        </w:rPr>
        <w:t>Kot d</w:t>
      </w:r>
      <w:r>
        <w:rPr>
          <w:rFonts w:cs="Tahoma"/>
          <w:b/>
          <w:i/>
          <w:color w:val="000000"/>
          <w:sz w:val="22"/>
        </w:rPr>
        <w:t xml:space="preserve">rugo svari naše izvoznike pred šibkejšimi izvoznimi obeti na naših ključnih trgih.  </w:t>
      </w:r>
    </w:p>
    <w:p w:rsidR="007A224F" w:rsidRPr="007A224F" w:rsidRDefault="007A224F" w:rsidP="00937EF2">
      <w:pPr>
        <w:jc w:val="both"/>
        <w:rPr>
          <w:rFonts w:cs="Tahoma"/>
          <w:b/>
          <w:sz w:val="22"/>
          <w:szCs w:val="22"/>
        </w:rPr>
      </w:pPr>
      <w:r w:rsidRPr="007A224F">
        <w:rPr>
          <w:rFonts w:cs="Tahoma"/>
          <w:b/>
          <w:sz w:val="22"/>
          <w:szCs w:val="22"/>
        </w:rPr>
        <w:t>Šibkejši obeti v izvoznih partnericah</w:t>
      </w:r>
    </w:p>
    <w:p w:rsidR="00937EF2" w:rsidRDefault="00937EF2" w:rsidP="00937EF2">
      <w:pPr>
        <w:jc w:val="both"/>
        <w:rPr>
          <w:rFonts w:cs="Tahoma"/>
          <w:sz w:val="22"/>
          <w:szCs w:val="22"/>
        </w:rPr>
      </w:pPr>
      <w:r>
        <w:rPr>
          <w:rFonts w:cs="Tahoma"/>
          <w:sz w:val="22"/>
          <w:szCs w:val="22"/>
        </w:rPr>
        <w:t>Gospodarski obeti v glavnih slovenskih izvoznih</w:t>
      </w:r>
      <w:r w:rsidRPr="00BB3DF2">
        <w:rPr>
          <w:rFonts w:cs="Tahoma"/>
          <w:sz w:val="22"/>
          <w:szCs w:val="22"/>
        </w:rPr>
        <w:t xml:space="preserve"> partneric</w:t>
      </w:r>
      <w:r>
        <w:rPr>
          <w:rFonts w:cs="Tahoma"/>
          <w:sz w:val="22"/>
          <w:szCs w:val="22"/>
        </w:rPr>
        <w:t>ah so se</w:t>
      </w:r>
      <w:r w:rsidRPr="00BB3DF2">
        <w:rPr>
          <w:rFonts w:cs="Tahoma"/>
          <w:sz w:val="22"/>
          <w:szCs w:val="22"/>
        </w:rPr>
        <w:t xml:space="preserve"> poslabšali (Italiji</w:t>
      </w:r>
      <w:r>
        <w:rPr>
          <w:rFonts w:cs="Tahoma"/>
          <w:sz w:val="22"/>
          <w:szCs w:val="22"/>
        </w:rPr>
        <w:t xml:space="preserve"> in</w:t>
      </w:r>
      <w:r w:rsidRPr="00BB3DF2">
        <w:rPr>
          <w:rFonts w:cs="Tahoma"/>
          <w:sz w:val="22"/>
          <w:szCs w:val="22"/>
        </w:rPr>
        <w:t xml:space="preserve"> Hrvaški za 0,3 </w:t>
      </w:r>
      <w:r>
        <w:rPr>
          <w:rFonts w:cs="Tahoma"/>
          <w:sz w:val="22"/>
          <w:szCs w:val="22"/>
        </w:rPr>
        <w:t>odstotne</w:t>
      </w:r>
      <w:r w:rsidRPr="00BB3DF2">
        <w:rPr>
          <w:rFonts w:cs="Tahoma"/>
          <w:sz w:val="22"/>
          <w:szCs w:val="22"/>
        </w:rPr>
        <w:t xml:space="preserve"> točke in Nemčiji, Avstriji za 0,2 </w:t>
      </w:r>
      <w:r>
        <w:rPr>
          <w:rFonts w:cs="Tahoma"/>
          <w:sz w:val="22"/>
          <w:szCs w:val="22"/>
        </w:rPr>
        <w:t>odstotni</w:t>
      </w:r>
      <w:r w:rsidRPr="00BB3DF2">
        <w:rPr>
          <w:rFonts w:cs="Tahoma"/>
          <w:sz w:val="22"/>
          <w:szCs w:val="22"/>
        </w:rPr>
        <w:t xml:space="preserve"> točki</w:t>
      </w:r>
      <w:r>
        <w:rPr>
          <w:rFonts w:cs="Tahoma"/>
          <w:sz w:val="22"/>
          <w:szCs w:val="22"/>
        </w:rPr>
        <w:t>), kar</w:t>
      </w:r>
      <w:bookmarkStart w:id="0" w:name="_GoBack"/>
      <w:bookmarkEnd w:id="0"/>
      <w:r>
        <w:rPr>
          <w:rFonts w:cs="Tahoma"/>
          <w:sz w:val="22"/>
          <w:szCs w:val="22"/>
        </w:rPr>
        <w:t xml:space="preserve"> je slaba novica za naše izvoznike. </w:t>
      </w:r>
      <w:r w:rsidRPr="00BB3DF2">
        <w:rPr>
          <w:rFonts w:cs="Tahoma"/>
          <w:sz w:val="22"/>
          <w:szCs w:val="22"/>
        </w:rPr>
        <w:t xml:space="preserve">Gospodarska rast </w:t>
      </w:r>
      <w:r>
        <w:rPr>
          <w:rFonts w:cs="Tahoma"/>
          <w:sz w:val="22"/>
          <w:szCs w:val="22"/>
        </w:rPr>
        <w:t xml:space="preserve">v EU-28 naj bi tako znašala 1,8 % in v evroobmočju 1,6 %. Grčija naj bi ostala v recesiji, kar povečuje strah pred novo evropsko dolžniško krizo, saj težava z visokim grškim dolgom ni rešena, temveč le odložena na kasnejši čas. Slovenska gospodarska rast naj bi v letu 2016 znašala 1,7 %, medtem ko naj bi ta v višegrajskih državah dosegala 2,9 %. Ocena je nižja od povprečja analitikov (1,9 %), vendar na ravni UMAR-ja. </w:t>
      </w:r>
    </w:p>
    <w:p w:rsidR="007A224F" w:rsidRPr="007A224F" w:rsidRDefault="007A224F" w:rsidP="00937EF2">
      <w:pPr>
        <w:jc w:val="both"/>
        <w:rPr>
          <w:rFonts w:cs="Tahoma"/>
          <w:b/>
          <w:sz w:val="22"/>
          <w:szCs w:val="22"/>
        </w:rPr>
      </w:pPr>
      <w:r w:rsidRPr="007A224F">
        <w:rPr>
          <w:rFonts w:cs="Tahoma"/>
          <w:b/>
          <w:sz w:val="22"/>
          <w:szCs w:val="22"/>
        </w:rPr>
        <w:t>Evro nič več dejavnik podpore</w:t>
      </w:r>
    </w:p>
    <w:p w:rsidR="00BB3DF2" w:rsidRDefault="00BB3DF2" w:rsidP="00E01BB6">
      <w:pPr>
        <w:jc w:val="both"/>
        <w:rPr>
          <w:rFonts w:cs="Tahoma"/>
          <w:sz w:val="22"/>
          <w:szCs w:val="22"/>
        </w:rPr>
      </w:pPr>
      <w:r w:rsidRPr="00BB3DF2">
        <w:rPr>
          <w:rFonts w:cs="Tahoma"/>
          <w:sz w:val="22"/>
          <w:szCs w:val="22"/>
        </w:rPr>
        <w:t>Spomladanska napov</w:t>
      </w:r>
      <w:r w:rsidR="00EF6FC6">
        <w:rPr>
          <w:rFonts w:cs="Tahoma"/>
          <w:sz w:val="22"/>
          <w:szCs w:val="22"/>
        </w:rPr>
        <w:t>ed Evropske komisije ni pozelene</w:t>
      </w:r>
      <w:r w:rsidRPr="00BB3DF2">
        <w:rPr>
          <w:rFonts w:cs="Tahoma"/>
          <w:sz w:val="22"/>
          <w:szCs w:val="22"/>
        </w:rPr>
        <w:t>la napovedi</w:t>
      </w:r>
      <w:r>
        <w:rPr>
          <w:rFonts w:cs="Tahoma"/>
          <w:sz w:val="22"/>
          <w:szCs w:val="22"/>
        </w:rPr>
        <w:t xml:space="preserve"> v državah EU</w:t>
      </w:r>
      <w:r w:rsidRPr="00BB3DF2">
        <w:rPr>
          <w:rFonts w:cs="Tahoma"/>
          <w:sz w:val="22"/>
          <w:szCs w:val="22"/>
        </w:rPr>
        <w:t>, pač pa v večji meri vključuje negotovosti</w:t>
      </w:r>
      <w:r w:rsidR="00F93936">
        <w:rPr>
          <w:rFonts w:cs="Tahoma"/>
          <w:sz w:val="22"/>
          <w:szCs w:val="22"/>
        </w:rPr>
        <w:t>,</w:t>
      </w:r>
      <w:r w:rsidRPr="00BB3DF2">
        <w:rPr>
          <w:rFonts w:cs="Tahoma"/>
          <w:sz w:val="22"/>
          <w:szCs w:val="22"/>
        </w:rPr>
        <w:t xml:space="preserve"> kot so </w:t>
      </w:r>
      <w:r>
        <w:rPr>
          <w:rFonts w:cs="Tahoma"/>
          <w:sz w:val="22"/>
          <w:szCs w:val="22"/>
        </w:rPr>
        <w:t xml:space="preserve">upočasnjevanje ali celo padec izvoza na glavnih trgih v razvoju. Učinek šibkega evra se je počasi izpel </w:t>
      </w:r>
      <w:r w:rsidR="00937EF2">
        <w:rPr>
          <w:rFonts w:cs="Tahoma"/>
          <w:sz w:val="22"/>
          <w:szCs w:val="22"/>
        </w:rPr>
        <w:t xml:space="preserve">in </w:t>
      </w:r>
      <w:r>
        <w:rPr>
          <w:rFonts w:cs="Tahoma"/>
          <w:sz w:val="22"/>
          <w:szCs w:val="22"/>
        </w:rPr>
        <w:t xml:space="preserve">ne bo več </w:t>
      </w:r>
      <w:r w:rsidR="00EF6FC6">
        <w:rPr>
          <w:rFonts w:cs="Tahoma"/>
          <w:sz w:val="22"/>
          <w:szCs w:val="22"/>
        </w:rPr>
        <w:t xml:space="preserve">nudil </w:t>
      </w:r>
      <w:r>
        <w:rPr>
          <w:rFonts w:cs="Tahoma"/>
          <w:sz w:val="22"/>
          <w:szCs w:val="22"/>
        </w:rPr>
        <w:t>takšne podpore evropskemu izvozu kot v lanskem letu. Nižje cene nafte višajo razpoložljiv dohodek gospodinjstev ter njihov optimizem, zato zasebno trošenje postaja pomembnejše od izvoza.</w:t>
      </w:r>
    </w:p>
    <w:p w:rsidR="007A224F" w:rsidRPr="007A224F" w:rsidRDefault="007A224F" w:rsidP="00E01BB6">
      <w:pPr>
        <w:jc w:val="both"/>
        <w:rPr>
          <w:rFonts w:cs="Tahoma"/>
          <w:b/>
          <w:color w:val="000000"/>
          <w:sz w:val="22"/>
          <w:szCs w:val="22"/>
          <w:shd w:val="clear" w:color="auto" w:fill="FBEEE1"/>
        </w:rPr>
      </w:pPr>
      <w:r w:rsidRPr="007A224F">
        <w:rPr>
          <w:rFonts w:cs="Tahoma"/>
          <w:b/>
          <w:sz w:val="22"/>
          <w:szCs w:val="22"/>
        </w:rPr>
        <w:t>Pretiran pesimizem pri investicijah, optimizem potrošnikov</w:t>
      </w:r>
    </w:p>
    <w:p w:rsidR="00F31968" w:rsidRDefault="00F31968" w:rsidP="00E01BB6">
      <w:pPr>
        <w:jc w:val="both"/>
        <w:rPr>
          <w:rFonts w:cs="Tahoma"/>
          <w:sz w:val="22"/>
          <w:szCs w:val="22"/>
        </w:rPr>
      </w:pPr>
      <w:r>
        <w:rPr>
          <w:rFonts w:cs="Tahoma"/>
          <w:sz w:val="22"/>
          <w:szCs w:val="22"/>
        </w:rPr>
        <w:t xml:space="preserve">Investicije naj bi se v Sloveniji znižale kar za 2,6 % v 2016, kar je precej več kot ocenjeno še februarja (0,5 %), in sicer kljub rasti zasebnih investicij. Po oceni </w:t>
      </w:r>
      <w:r w:rsidR="00EF6FC6">
        <w:rPr>
          <w:rFonts w:cs="Tahoma"/>
          <w:sz w:val="22"/>
          <w:szCs w:val="22"/>
        </w:rPr>
        <w:t xml:space="preserve">GZS </w:t>
      </w:r>
      <w:r>
        <w:rPr>
          <w:rFonts w:cs="Tahoma"/>
          <w:sz w:val="22"/>
          <w:szCs w:val="22"/>
        </w:rPr>
        <w:t>je ocenjen padec relativno visok. Zasebno trošenje naj bi se zaradi krepitve trga dela povečalo za 2,3 %</w:t>
      </w:r>
      <w:r w:rsidR="004F08A8">
        <w:rPr>
          <w:rFonts w:cs="Tahoma"/>
          <w:sz w:val="22"/>
          <w:szCs w:val="22"/>
        </w:rPr>
        <w:t>, največ v zadnjih 8 letih. K temu naj bi prispevale nižje cene naftnih derivatov in nizke obrestne mere, ki spod</w:t>
      </w:r>
      <w:r w:rsidR="00F93936">
        <w:rPr>
          <w:rFonts w:cs="Tahoma"/>
          <w:sz w:val="22"/>
          <w:szCs w:val="22"/>
        </w:rPr>
        <w:t>bujajo</w:t>
      </w:r>
      <w:r w:rsidR="004F08A8">
        <w:rPr>
          <w:rFonts w:cs="Tahoma"/>
          <w:sz w:val="22"/>
          <w:szCs w:val="22"/>
        </w:rPr>
        <w:t xml:space="preserve"> optimizem potrošnikov. </w:t>
      </w:r>
    </w:p>
    <w:p w:rsidR="007A224F" w:rsidRPr="007A224F" w:rsidRDefault="007A224F" w:rsidP="00E01BB6">
      <w:pPr>
        <w:jc w:val="both"/>
        <w:rPr>
          <w:rFonts w:cs="Tahoma"/>
          <w:b/>
          <w:sz w:val="22"/>
          <w:szCs w:val="22"/>
        </w:rPr>
      </w:pPr>
      <w:r w:rsidRPr="007A224F">
        <w:rPr>
          <w:rFonts w:cs="Tahoma"/>
          <w:b/>
          <w:sz w:val="22"/>
          <w:szCs w:val="22"/>
        </w:rPr>
        <w:t>Rast cen že ob koncu letošnjega leta</w:t>
      </w:r>
    </w:p>
    <w:p w:rsidR="00F93936" w:rsidRDefault="00CE38EC" w:rsidP="00E01BB6">
      <w:pPr>
        <w:jc w:val="both"/>
        <w:rPr>
          <w:rFonts w:cs="Tahoma"/>
          <w:sz w:val="22"/>
          <w:szCs w:val="22"/>
        </w:rPr>
      </w:pPr>
      <w:r>
        <w:rPr>
          <w:rFonts w:cs="Tahoma"/>
          <w:sz w:val="22"/>
          <w:szCs w:val="22"/>
        </w:rPr>
        <w:t>Cene naj bi se začele povečevati v zadnjem letošnjem četrtletju, že v naslednjem let</w:t>
      </w:r>
      <w:r w:rsidR="00F93936">
        <w:rPr>
          <w:rFonts w:cs="Tahoma"/>
          <w:sz w:val="22"/>
          <w:szCs w:val="22"/>
        </w:rPr>
        <w:t>u</w:t>
      </w:r>
      <w:r>
        <w:rPr>
          <w:rFonts w:cs="Tahoma"/>
          <w:sz w:val="22"/>
          <w:szCs w:val="22"/>
        </w:rPr>
        <w:t xml:space="preserve"> pa naj bi cene zaradi višjih cen nafte porasle za 1,6 %. Visoka rast plač v javnem sektorju naj bi prispevala k dvigu trošenja države za 2,7 %, medtem ko naj bi se strukturni primanjkljaj že v naslednjem letu poslabšal. Javni dolg naj bi se zniževal, predvsem zaradi manjšega zadolževanja na zalogo, vendar to napoved ogrožajo potencialne transakcije povezane z DUTB, ki vplivajo na spremembo javnega dolga. </w:t>
      </w:r>
    </w:p>
    <w:p w:rsidR="007A224F" w:rsidRPr="007A224F" w:rsidRDefault="007A224F" w:rsidP="00E01BB6">
      <w:pPr>
        <w:jc w:val="both"/>
        <w:rPr>
          <w:rFonts w:cs="Tahoma"/>
          <w:b/>
          <w:sz w:val="22"/>
          <w:szCs w:val="22"/>
        </w:rPr>
      </w:pPr>
      <w:r w:rsidRPr="007A224F">
        <w:rPr>
          <w:rFonts w:cs="Tahoma"/>
          <w:b/>
          <w:sz w:val="22"/>
          <w:szCs w:val="22"/>
        </w:rPr>
        <w:t xml:space="preserve">Opozorilo o </w:t>
      </w:r>
      <w:r>
        <w:rPr>
          <w:rFonts w:cs="Tahoma"/>
          <w:b/>
          <w:sz w:val="22"/>
          <w:szCs w:val="22"/>
        </w:rPr>
        <w:t>kratkotrajnosti po</w:t>
      </w:r>
      <w:r w:rsidRPr="007A224F">
        <w:rPr>
          <w:rFonts w:cs="Tahoma"/>
          <w:b/>
          <w:sz w:val="22"/>
          <w:szCs w:val="22"/>
        </w:rPr>
        <w:t>ceni denarja je na mestu</w:t>
      </w:r>
    </w:p>
    <w:p w:rsidR="00CE38EC" w:rsidRDefault="00CE38EC" w:rsidP="00E01BB6">
      <w:pPr>
        <w:jc w:val="both"/>
        <w:rPr>
          <w:rFonts w:cs="Tahoma"/>
          <w:sz w:val="22"/>
          <w:szCs w:val="22"/>
        </w:rPr>
      </w:pPr>
      <w:r>
        <w:rPr>
          <w:rFonts w:cs="Tahoma"/>
          <w:sz w:val="22"/>
          <w:szCs w:val="22"/>
        </w:rPr>
        <w:t>Poročilo opozarja</w:t>
      </w:r>
      <w:r w:rsidR="004F08A8">
        <w:rPr>
          <w:rFonts w:cs="Tahoma"/>
          <w:sz w:val="22"/>
          <w:szCs w:val="22"/>
        </w:rPr>
        <w:t xml:space="preserve"> vso Evropo</w:t>
      </w:r>
      <w:r>
        <w:rPr>
          <w:rFonts w:cs="Tahoma"/>
          <w:sz w:val="22"/>
          <w:szCs w:val="22"/>
        </w:rPr>
        <w:t xml:space="preserve">, da obdobje poceni denarja ni večno, kar lahko pomeni večje izdatke države za obresti v prihodnje in nujno potrebo, da se javni dolg končno prične zniževati. Precej nenavadno tako </w:t>
      </w:r>
      <w:r w:rsidR="00F31968">
        <w:rPr>
          <w:rFonts w:cs="Tahoma"/>
          <w:sz w:val="22"/>
          <w:szCs w:val="22"/>
        </w:rPr>
        <w:t xml:space="preserve">zveni aktualno kršenje zavez Slovenije o znižanju strukturnega primanjkljaja zaradi metodologije, ki je rezultat večletnih usklajevanj in prilagajanj med državami. Zgolj dvig obrestne mere za 1 odstotno točko bi pomenila 300 mio EUR dodatnih izdatkov za obresti. </w:t>
      </w:r>
    </w:p>
    <w:p w:rsidR="00BB3DF2" w:rsidRDefault="00BB3DF2" w:rsidP="00BB3DF2">
      <w:pPr>
        <w:rPr>
          <w:rFonts w:cs="Tahoma"/>
        </w:rPr>
      </w:pPr>
    </w:p>
    <w:p w:rsidR="00B0385E" w:rsidRPr="00BB3DF2" w:rsidRDefault="00BB3DF2" w:rsidP="004F08A8">
      <w:pPr>
        <w:rPr>
          <w:rFonts w:cs="Tahoma"/>
        </w:rPr>
      </w:pPr>
      <w:r w:rsidRPr="00BB3DF2">
        <w:rPr>
          <w:rFonts w:cs="Tahoma"/>
        </w:rPr>
        <w:t xml:space="preserve"> </w:t>
      </w:r>
      <w:r w:rsidR="001722D4" w:rsidRPr="00BB3DF2">
        <w:rPr>
          <w:rFonts w:cs="Tahoma"/>
          <w:noProof/>
        </w:rPr>
        <w:drawing>
          <wp:inline distT="0" distB="0" distL="0" distR="0">
            <wp:extent cx="1682151" cy="519879"/>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0100" cy="534698"/>
                    </a:xfrm>
                    <a:prstGeom prst="rect">
                      <a:avLst/>
                    </a:prstGeom>
                    <a:noFill/>
                    <a:ln>
                      <a:noFill/>
                    </a:ln>
                  </pic:spPr>
                </pic:pic>
              </a:graphicData>
            </a:graphic>
          </wp:inline>
        </w:drawing>
      </w:r>
    </w:p>
    <w:sectPr w:rsidR="00B0385E" w:rsidRPr="00BB3DF2" w:rsidSect="00B0385E">
      <w:pgSz w:w="11906" w:h="16838"/>
      <w:pgMar w:top="899" w:right="1106" w:bottom="900" w:left="900" w:header="708" w:footer="708" w:gutter="0"/>
      <w:pgBorders w:offsetFrom="page">
        <w:top w:val="single" w:sz="4" w:space="24" w:color="5C141F"/>
        <w:left w:val="single" w:sz="4" w:space="24" w:color="5C141F"/>
        <w:bottom w:val="single" w:sz="4" w:space="24" w:color="5C141F"/>
        <w:right w:val="single" w:sz="4" w:space="24" w:color="5C141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3AD" w:rsidRDefault="006A23AD">
      <w:r>
        <w:separator/>
      </w:r>
    </w:p>
  </w:endnote>
  <w:endnote w:type="continuationSeparator" w:id="0">
    <w:p w:rsidR="006A23AD" w:rsidRDefault="006A2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3AD" w:rsidRDefault="006A23AD">
      <w:r>
        <w:separator/>
      </w:r>
    </w:p>
  </w:footnote>
  <w:footnote w:type="continuationSeparator" w:id="0">
    <w:p w:rsidR="006A23AD" w:rsidRDefault="006A23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A6368"/>
    <w:multiLevelType w:val="hybridMultilevel"/>
    <w:tmpl w:val="A31E54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C26CA1"/>
    <w:multiLevelType w:val="hybridMultilevel"/>
    <w:tmpl w:val="32EA86A6"/>
    <w:lvl w:ilvl="0" w:tplc="2730C59A">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85528D4"/>
    <w:multiLevelType w:val="hybridMultilevel"/>
    <w:tmpl w:val="11F407EC"/>
    <w:lvl w:ilvl="0" w:tplc="04240001">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42EF10FC"/>
    <w:multiLevelType w:val="hybridMultilevel"/>
    <w:tmpl w:val="9C341F00"/>
    <w:lvl w:ilvl="0" w:tplc="04240001">
      <w:start w:val="1"/>
      <w:numFmt w:val="bullet"/>
      <w:lvlText w:val=""/>
      <w:lvlJc w:val="left"/>
      <w:pPr>
        <w:tabs>
          <w:tab w:val="num" w:pos="3240"/>
        </w:tabs>
        <w:ind w:left="3240" w:hanging="360"/>
      </w:pPr>
      <w:rPr>
        <w:rFonts w:ascii="Symbol" w:hAnsi="Symbol" w:hint="default"/>
      </w:rPr>
    </w:lvl>
    <w:lvl w:ilvl="1" w:tplc="04240003" w:tentative="1">
      <w:start w:val="1"/>
      <w:numFmt w:val="bullet"/>
      <w:lvlText w:val="o"/>
      <w:lvlJc w:val="left"/>
      <w:pPr>
        <w:tabs>
          <w:tab w:val="num" w:pos="3960"/>
        </w:tabs>
        <w:ind w:left="3960" w:hanging="360"/>
      </w:pPr>
      <w:rPr>
        <w:rFonts w:ascii="Courier New" w:hAnsi="Courier New" w:hint="default"/>
      </w:rPr>
    </w:lvl>
    <w:lvl w:ilvl="2" w:tplc="04240005" w:tentative="1">
      <w:start w:val="1"/>
      <w:numFmt w:val="bullet"/>
      <w:lvlText w:val=""/>
      <w:lvlJc w:val="left"/>
      <w:pPr>
        <w:tabs>
          <w:tab w:val="num" w:pos="4680"/>
        </w:tabs>
        <w:ind w:left="4680" w:hanging="360"/>
      </w:pPr>
      <w:rPr>
        <w:rFonts w:ascii="Wingdings" w:hAnsi="Wingdings" w:hint="default"/>
      </w:rPr>
    </w:lvl>
    <w:lvl w:ilvl="3" w:tplc="04240001" w:tentative="1">
      <w:start w:val="1"/>
      <w:numFmt w:val="bullet"/>
      <w:lvlText w:val=""/>
      <w:lvlJc w:val="left"/>
      <w:pPr>
        <w:tabs>
          <w:tab w:val="num" w:pos="5400"/>
        </w:tabs>
        <w:ind w:left="5400" w:hanging="360"/>
      </w:pPr>
      <w:rPr>
        <w:rFonts w:ascii="Symbol" w:hAnsi="Symbol" w:hint="default"/>
      </w:rPr>
    </w:lvl>
    <w:lvl w:ilvl="4" w:tplc="04240003" w:tentative="1">
      <w:start w:val="1"/>
      <w:numFmt w:val="bullet"/>
      <w:lvlText w:val="o"/>
      <w:lvlJc w:val="left"/>
      <w:pPr>
        <w:tabs>
          <w:tab w:val="num" w:pos="6120"/>
        </w:tabs>
        <w:ind w:left="6120" w:hanging="360"/>
      </w:pPr>
      <w:rPr>
        <w:rFonts w:ascii="Courier New" w:hAnsi="Courier New" w:hint="default"/>
      </w:rPr>
    </w:lvl>
    <w:lvl w:ilvl="5" w:tplc="04240005" w:tentative="1">
      <w:start w:val="1"/>
      <w:numFmt w:val="bullet"/>
      <w:lvlText w:val=""/>
      <w:lvlJc w:val="left"/>
      <w:pPr>
        <w:tabs>
          <w:tab w:val="num" w:pos="6840"/>
        </w:tabs>
        <w:ind w:left="6840" w:hanging="360"/>
      </w:pPr>
      <w:rPr>
        <w:rFonts w:ascii="Wingdings" w:hAnsi="Wingdings" w:hint="default"/>
      </w:rPr>
    </w:lvl>
    <w:lvl w:ilvl="6" w:tplc="04240001" w:tentative="1">
      <w:start w:val="1"/>
      <w:numFmt w:val="bullet"/>
      <w:lvlText w:val=""/>
      <w:lvlJc w:val="left"/>
      <w:pPr>
        <w:tabs>
          <w:tab w:val="num" w:pos="7560"/>
        </w:tabs>
        <w:ind w:left="7560" w:hanging="360"/>
      </w:pPr>
      <w:rPr>
        <w:rFonts w:ascii="Symbol" w:hAnsi="Symbol" w:hint="default"/>
      </w:rPr>
    </w:lvl>
    <w:lvl w:ilvl="7" w:tplc="04240003" w:tentative="1">
      <w:start w:val="1"/>
      <w:numFmt w:val="bullet"/>
      <w:lvlText w:val="o"/>
      <w:lvlJc w:val="left"/>
      <w:pPr>
        <w:tabs>
          <w:tab w:val="num" w:pos="8280"/>
        </w:tabs>
        <w:ind w:left="8280" w:hanging="360"/>
      </w:pPr>
      <w:rPr>
        <w:rFonts w:ascii="Courier New" w:hAnsi="Courier New" w:hint="default"/>
      </w:rPr>
    </w:lvl>
    <w:lvl w:ilvl="8" w:tplc="04240005" w:tentative="1">
      <w:start w:val="1"/>
      <w:numFmt w:val="bullet"/>
      <w:lvlText w:val=""/>
      <w:lvlJc w:val="left"/>
      <w:pPr>
        <w:tabs>
          <w:tab w:val="num" w:pos="9000"/>
        </w:tabs>
        <w:ind w:left="9000" w:hanging="360"/>
      </w:pPr>
      <w:rPr>
        <w:rFonts w:ascii="Wingdings" w:hAnsi="Wingdings" w:hint="default"/>
      </w:rPr>
    </w:lvl>
  </w:abstractNum>
  <w:abstractNum w:abstractNumId="4" w15:restartNumberingAfterBreak="0">
    <w:nsid w:val="550C0581"/>
    <w:multiLevelType w:val="hybridMultilevel"/>
    <w:tmpl w:val="9EA82F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5DD4B44"/>
    <w:multiLevelType w:val="hybridMultilevel"/>
    <w:tmpl w:val="5F72164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6D2D5A"/>
    <w:multiLevelType w:val="hybridMultilevel"/>
    <w:tmpl w:val="4010FF0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5FD6596A"/>
    <w:multiLevelType w:val="hybridMultilevel"/>
    <w:tmpl w:val="F460CA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9DC6488"/>
    <w:multiLevelType w:val="hybridMultilevel"/>
    <w:tmpl w:val="C60E7D74"/>
    <w:lvl w:ilvl="0" w:tplc="120EDFD2">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3"/>
  </w:num>
  <w:num w:numId="2">
    <w:abstractNumId w:val="5"/>
  </w:num>
  <w:num w:numId="3">
    <w:abstractNumId w:val="8"/>
  </w:num>
  <w:num w:numId="4">
    <w:abstractNumId w:val="2"/>
  </w:num>
  <w:num w:numId="5">
    <w:abstractNumId w:val="6"/>
  </w:num>
  <w:num w:numId="6">
    <w:abstractNumId w:val="4"/>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BC0"/>
    <w:rsid w:val="00004F74"/>
    <w:rsid w:val="00010118"/>
    <w:rsid w:val="0001292A"/>
    <w:rsid w:val="000179F0"/>
    <w:rsid w:val="0004298A"/>
    <w:rsid w:val="00075F45"/>
    <w:rsid w:val="0007798F"/>
    <w:rsid w:val="00087F84"/>
    <w:rsid w:val="000B1DCB"/>
    <w:rsid w:val="000C3489"/>
    <w:rsid w:val="000D5F2D"/>
    <w:rsid w:val="000E3519"/>
    <w:rsid w:val="000E38DF"/>
    <w:rsid w:val="000F0679"/>
    <w:rsid w:val="000F760C"/>
    <w:rsid w:val="00113FFA"/>
    <w:rsid w:val="00117B50"/>
    <w:rsid w:val="00122345"/>
    <w:rsid w:val="00126461"/>
    <w:rsid w:val="0013044A"/>
    <w:rsid w:val="00147D93"/>
    <w:rsid w:val="00157098"/>
    <w:rsid w:val="00161D93"/>
    <w:rsid w:val="00166A19"/>
    <w:rsid w:val="00167D1A"/>
    <w:rsid w:val="001722D4"/>
    <w:rsid w:val="00175F68"/>
    <w:rsid w:val="001876AD"/>
    <w:rsid w:val="001A339D"/>
    <w:rsid w:val="001B061D"/>
    <w:rsid w:val="001C6A39"/>
    <w:rsid w:val="00213ECE"/>
    <w:rsid w:val="00216667"/>
    <w:rsid w:val="002354DE"/>
    <w:rsid w:val="00236642"/>
    <w:rsid w:val="00274E94"/>
    <w:rsid w:val="0028048D"/>
    <w:rsid w:val="00294FD8"/>
    <w:rsid w:val="002C48F8"/>
    <w:rsid w:val="002D3F30"/>
    <w:rsid w:val="002D6454"/>
    <w:rsid w:val="002E542C"/>
    <w:rsid w:val="00310C89"/>
    <w:rsid w:val="00311763"/>
    <w:rsid w:val="00322678"/>
    <w:rsid w:val="0032731D"/>
    <w:rsid w:val="00333BB8"/>
    <w:rsid w:val="003359C7"/>
    <w:rsid w:val="00344A7C"/>
    <w:rsid w:val="003504C8"/>
    <w:rsid w:val="00357A71"/>
    <w:rsid w:val="0037077C"/>
    <w:rsid w:val="00373E9F"/>
    <w:rsid w:val="00380BD6"/>
    <w:rsid w:val="003A40FF"/>
    <w:rsid w:val="003B0B18"/>
    <w:rsid w:val="003B3D2E"/>
    <w:rsid w:val="003C0408"/>
    <w:rsid w:val="003C277E"/>
    <w:rsid w:val="003E000B"/>
    <w:rsid w:val="003E081A"/>
    <w:rsid w:val="003E4F96"/>
    <w:rsid w:val="003E60C8"/>
    <w:rsid w:val="003E7125"/>
    <w:rsid w:val="003F291A"/>
    <w:rsid w:val="00400289"/>
    <w:rsid w:val="00406585"/>
    <w:rsid w:val="00412273"/>
    <w:rsid w:val="00423CCB"/>
    <w:rsid w:val="00426FD6"/>
    <w:rsid w:val="00431F63"/>
    <w:rsid w:val="004370F3"/>
    <w:rsid w:val="00441580"/>
    <w:rsid w:val="00450779"/>
    <w:rsid w:val="00455151"/>
    <w:rsid w:val="00460EAB"/>
    <w:rsid w:val="00475864"/>
    <w:rsid w:val="004A08AF"/>
    <w:rsid w:val="004C0EB4"/>
    <w:rsid w:val="004E51D6"/>
    <w:rsid w:val="004F08A8"/>
    <w:rsid w:val="004F5AE6"/>
    <w:rsid w:val="00502CF0"/>
    <w:rsid w:val="00526B3A"/>
    <w:rsid w:val="0053342E"/>
    <w:rsid w:val="005664C2"/>
    <w:rsid w:val="005730E4"/>
    <w:rsid w:val="00577C82"/>
    <w:rsid w:val="005962E1"/>
    <w:rsid w:val="005A08B9"/>
    <w:rsid w:val="005B0EF4"/>
    <w:rsid w:val="005B2206"/>
    <w:rsid w:val="005B4D94"/>
    <w:rsid w:val="005B5E34"/>
    <w:rsid w:val="005D0757"/>
    <w:rsid w:val="005F245A"/>
    <w:rsid w:val="005F4533"/>
    <w:rsid w:val="00613AF9"/>
    <w:rsid w:val="00616AF9"/>
    <w:rsid w:val="00620428"/>
    <w:rsid w:val="00632897"/>
    <w:rsid w:val="006529C4"/>
    <w:rsid w:val="0066281D"/>
    <w:rsid w:val="00663C5F"/>
    <w:rsid w:val="00677609"/>
    <w:rsid w:val="006805CE"/>
    <w:rsid w:val="00695578"/>
    <w:rsid w:val="006A23AD"/>
    <w:rsid w:val="006A4A48"/>
    <w:rsid w:val="006A4B99"/>
    <w:rsid w:val="006C3A23"/>
    <w:rsid w:val="006C3F14"/>
    <w:rsid w:val="006C6B19"/>
    <w:rsid w:val="006D1D4E"/>
    <w:rsid w:val="006E496E"/>
    <w:rsid w:val="006F1F66"/>
    <w:rsid w:val="006F7FF6"/>
    <w:rsid w:val="00705950"/>
    <w:rsid w:val="00706D9A"/>
    <w:rsid w:val="00707017"/>
    <w:rsid w:val="00741971"/>
    <w:rsid w:val="00742437"/>
    <w:rsid w:val="007444C8"/>
    <w:rsid w:val="00757F91"/>
    <w:rsid w:val="00767D96"/>
    <w:rsid w:val="00771324"/>
    <w:rsid w:val="00771728"/>
    <w:rsid w:val="007724CC"/>
    <w:rsid w:val="007779BD"/>
    <w:rsid w:val="007A224F"/>
    <w:rsid w:val="007A6798"/>
    <w:rsid w:val="007A7DE1"/>
    <w:rsid w:val="007C78F8"/>
    <w:rsid w:val="007D00D4"/>
    <w:rsid w:val="007D5FBE"/>
    <w:rsid w:val="007E18B0"/>
    <w:rsid w:val="007E3FE7"/>
    <w:rsid w:val="007F6388"/>
    <w:rsid w:val="00803776"/>
    <w:rsid w:val="00816CF9"/>
    <w:rsid w:val="00834884"/>
    <w:rsid w:val="008420C7"/>
    <w:rsid w:val="008467EA"/>
    <w:rsid w:val="00847582"/>
    <w:rsid w:val="008567A0"/>
    <w:rsid w:val="00866B16"/>
    <w:rsid w:val="00874B5B"/>
    <w:rsid w:val="00875D1A"/>
    <w:rsid w:val="008766EE"/>
    <w:rsid w:val="00895625"/>
    <w:rsid w:val="008A0DFE"/>
    <w:rsid w:val="008D3679"/>
    <w:rsid w:val="008D57F9"/>
    <w:rsid w:val="008F11FB"/>
    <w:rsid w:val="008F2450"/>
    <w:rsid w:val="00900388"/>
    <w:rsid w:val="00903A3C"/>
    <w:rsid w:val="00904E1A"/>
    <w:rsid w:val="0091124E"/>
    <w:rsid w:val="00922473"/>
    <w:rsid w:val="00935857"/>
    <w:rsid w:val="00936004"/>
    <w:rsid w:val="00937EF2"/>
    <w:rsid w:val="009467D0"/>
    <w:rsid w:val="00956E56"/>
    <w:rsid w:val="00965271"/>
    <w:rsid w:val="00975CE3"/>
    <w:rsid w:val="009815E0"/>
    <w:rsid w:val="00990047"/>
    <w:rsid w:val="009903C5"/>
    <w:rsid w:val="00993700"/>
    <w:rsid w:val="009A52FE"/>
    <w:rsid w:val="009B3D1A"/>
    <w:rsid w:val="009D3848"/>
    <w:rsid w:val="009F3051"/>
    <w:rsid w:val="00A05B02"/>
    <w:rsid w:val="00A0633F"/>
    <w:rsid w:val="00A3191C"/>
    <w:rsid w:val="00A40BD7"/>
    <w:rsid w:val="00A50CEE"/>
    <w:rsid w:val="00A607C2"/>
    <w:rsid w:val="00A649B9"/>
    <w:rsid w:val="00A71BCF"/>
    <w:rsid w:val="00A72AEA"/>
    <w:rsid w:val="00A75B2D"/>
    <w:rsid w:val="00A77B1D"/>
    <w:rsid w:val="00A84F80"/>
    <w:rsid w:val="00A96DBA"/>
    <w:rsid w:val="00AB3CA9"/>
    <w:rsid w:val="00AB56D5"/>
    <w:rsid w:val="00AC7952"/>
    <w:rsid w:val="00AD1A80"/>
    <w:rsid w:val="00AD42B3"/>
    <w:rsid w:val="00AD66E1"/>
    <w:rsid w:val="00AD7BC0"/>
    <w:rsid w:val="00AE2724"/>
    <w:rsid w:val="00AE7CC6"/>
    <w:rsid w:val="00AF1A5A"/>
    <w:rsid w:val="00B01757"/>
    <w:rsid w:val="00B01BD5"/>
    <w:rsid w:val="00B01EBD"/>
    <w:rsid w:val="00B0385E"/>
    <w:rsid w:val="00B1197A"/>
    <w:rsid w:val="00B21A07"/>
    <w:rsid w:val="00B224E0"/>
    <w:rsid w:val="00B22964"/>
    <w:rsid w:val="00B35830"/>
    <w:rsid w:val="00B45F35"/>
    <w:rsid w:val="00B53084"/>
    <w:rsid w:val="00B530C8"/>
    <w:rsid w:val="00B74742"/>
    <w:rsid w:val="00B80E26"/>
    <w:rsid w:val="00B857F1"/>
    <w:rsid w:val="00B9018E"/>
    <w:rsid w:val="00B926A8"/>
    <w:rsid w:val="00B93BB0"/>
    <w:rsid w:val="00BA59E0"/>
    <w:rsid w:val="00BB1720"/>
    <w:rsid w:val="00BB3DF2"/>
    <w:rsid w:val="00BB6B83"/>
    <w:rsid w:val="00BC188D"/>
    <w:rsid w:val="00BC4702"/>
    <w:rsid w:val="00BD7421"/>
    <w:rsid w:val="00BE5AA3"/>
    <w:rsid w:val="00C04227"/>
    <w:rsid w:val="00C15818"/>
    <w:rsid w:val="00C21898"/>
    <w:rsid w:val="00C278DA"/>
    <w:rsid w:val="00C350F1"/>
    <w:rsid w:val="00C62E70"/>
    <w:rsid w:val="00C65FF9"/>
    <w:rsid w:val="00C774BB"/>
    <w:rsid w:val="00C820A8"/>
    <w:rsid w:val="00C92326"/>
    <w:rsid w:val="00C9343D"/>
    <w:rsid w:val="00CA7BC0"/>
    <w:rsid w:val="00CD1598"/>
    <w:rsid w:val="00CE1DDA"/>
    <w:rsid w:val="00CE26BE"/>
    <w:rsid w:val="00CE38EC"/>
    <w:rsid w:val="00CF2326"/>
    <w:rsid w:val="00CF7DAB"/>
    <w:rsid w:val="00D01807"/>
    <w:rsid w:val="00D144D0"/>
    <w:rsid w:val="00D254C9"/>
    <w:rsid w:val="00D275F4"/>
    <w:rsid w:val="00D40F25"/>
    <w:rsid w:val="00D50DC9"/>
    <w:rsid w:val="00D67439"/>
    <w:rsid w:val="00D768FF"/>
    <w:rsid w:val="00D77DC7"/>
    <w:rsid w:val="00D83247"/>
    <w:rsid w:val="00D90A83"/>
    <w:rsid w:val="00DC0B59"/>
    <w:rsid w:val="00DD67CE"/>
    <w:rsid w:val="00DF2A5F"/>
    <w:rsid w:val="00DF36BD"/>
    <w:rsid w:val="00DF4212"/>
    <w:rsid w:val="00DF4F62"/>
    <w:rsid w:val="00E003DC"/>
    <w:rsid w:val="00E01BB6"/>
    <w:rsid w:val="00E06FD9"/>
    <w:rsid w:val="00E14188"/>
    <w:rsid w:val="00E31654"/>
    <w:rsid w:val="00E41B7A"/>
    <w:rsid w:val="00E522AE"/>
    <w:rsid w:val="00E63509"/>
    <w:rsid w:val="00E66D70"/>
    <w:rsid w:val="00E92FDB"/>
    <w:rsid w:val="00EA0CE6"/>
    <w:rsid w:val="00EA1E83"/>
    <w:rsid w:val="00EC1840"/>
    <w:rsid w:val="00EC1892"/>
    <w:rsid w:val="00EC57C5"/>
    <w:rsid w:val="00EE1002"/>
    <w:rsid w:val="00EF6C08"/>
    <w:rsid w:val="00EF6FC6"/>
    <w:rsid w:val="00F03DB5"/>
    <w:rsid w:val="00F2223B"/>
    <w:rsid w:val="00F31968"/>
    <w:rsid w:val="00F42398"/>
    <w:rsid w:val="00F462DF"/>
    <w:rsid w:val="00F46B2B"/>
    <w:rsid w:val="00F47EEA"/>
    <w:rsid w:val="00F53117"/>
    <w:rsid w:val="00F56533"/>
    <w:rsid w:val="00F66334"/>
    <w:rsid w:val="00F93936"/>
    <w:rsid w:val="00FA06E1"/>
    <w:rsid w:val="00FA73D0"/>
    <w:rsid w:val="00FB3CAF"/>
    <w:rsid w:val="00FC0670"/>
    <w:rsid w:val="00FC23CC"/>
    <w:rsid w:val="00FC3A57"/>
    <w:rsid w:val="00FF00FA"/>
    <w:rsid w:val="00FF78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1DC2784-EE7A-438E-860F-ED0D16B75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D0757"/>
    <w:pPr>
      <w:spacing w:after="90"/>
    </w:pPr>
    <w:rPr>
      <w:rFonts w:ascii="Tahoma" w:hAnsi="Tahoma"/>
      <w:sz w:val="24"/>
      <w:szCs w:val="24"/>
    </w:rPr>
  </w:style>
  <w:style w:type="paragraph" w:styleId="Naslov1">
    <w:name w:val="heading 1"/>
    <w:basedOn w:val="Navaden"/>
    <w:next w:val="Navaden"/>
    <w:link w:val="Naslov1Znak"/>
    <w:uiPriority w:val="99"/>
    <w:qFormat/>
    <w:rsid w:val="005D0757"/>
    <w:pPr>
      <w:spacing w:before="360" w:after="270"/>
      <w:outlineLvl w:val="0"/>
    </w:pPr>
    <w:rPr>
      <w:rFonts w:cs="Tahoma"/>
      <w:b/>
      <w:color w:val="99CC00"/>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8E694D"/>
    <w:rPr>
      <w:rFonts w:asciiTheme="majorHAnsi" w:eastAsiaTheme="majorEastAsia" w:hAnsiTheme="majorHAnsi" w:cstheme="majorBidi"/>
      <w:b/>
      <w:bCs/>
      <w:kern w:val="32"/>
      <w:sz w:val="32"/>
      <w:szCs w:val="32"/>
    </w:rPr>
  </w:style>
  <w:style w:type="paragraph" w:styleId="Glava">
    <w:name w:val="header"/>
    <w:basedOn w:val="Navaden"/>
    <w:link w:val="GlavaZnak"/>
    <w:uiPriority w:val="99"/>
    <w:rsid w:val="00C774BB"/>
    <w:pPr>
      <w:tabs>
        <w:tab w:val="center" w:pos="4153"/>
        <w:tab w:val="right" w:pos="8306"/>
      </w:tabs>
    </w:pPr>
  </w:style>
  <w:style w:type="character" w:customStyle="1" w:styleId="GlavaZnak">
    <w:name w:val="Glava Znak"/>
    <w:basedOn w:val="Privzetapisavaodstavka"/>
    <w:link w:val="Glava"/>
    <w:uiPriority w:val="99"/>
    <w:semiHidden/>
    <w:rsid w:val="008E694D"/>
    <w:rPr>
      <w:rFonts w:ascii="Tahoma" w:hAnsi="Tahoma"/>
      <w:sz w:val="24"/>
      <w:szCs w:val="24"/>
    </w:rPr>
  </w:style>
  <w:style w:type="paragraph" w:styleId="Noga">
    <w:name w:val="footer"/>
    <w:basedOn w:val="Navaden"/>
    <w:link w:val="NogaZnak"/>
    <w:uiPriority w:val="99"/>
    <w:rsid w:val="00C774BB"/>
    <w:pPr>
      <w:tabs>
        <w:tab w:val="center" w:pos="4153"/>
        <w:tab w:val="right" w:pos="8306"/>
      </w:tabs>
    </w:pPr>
  </w:style>
  <w:style w:type="character" w:customStyle="1" w:styleId="NogaZnak">
    <w:name w:val="Noga Znak"/>
    <w:basedOn w:val="Privzetapisavaodstavka"/>
    <w:link w:val="Noga"/>
    <w:uiPriority w:val="99"/>
    <w:semiHidden/>
    <w:rsid w:val="008E694D"/>
    <w:rPr>
      <w:rFonts w:ascii="Tahoma" w:hAnsi="Tahoma"/>
      <w:sz w:val="24"/>
      <w:szCs w:val="24"/>
    </w:rPr>
  </w:style>
  <w:style w:type="character" w:styleId="tevilkastrani">
    <w:name w:val="page number"/>
    <w:basedOn w:val="Privzetapisavaodstavka"/>
    <w:uiPriority w:val="99"/>
    <w:rsid w:val="00C774BB"/>
    <w:rPr>
      <w:rFonts w:cs="Times New Roman"/>
    </w:rPr>
  </w:style>
  <w:style w:type="paragraph" w:styleId="Navadensplet">
    <w:name w:val="Normal (Web)"/>
    <w:basedOn w:val="Navaden"/>
    <w:uiPriority w:val="99"/>
    <w:rsid w:val="00C774BB"/>
    <w:pPr>
      <w:spacing w:after="258" w:line="258" w:lineRule="atLeast"/>
      <w:jc w:val="both"/>
    </w:pPr>
    <w:rPr>
      <w:sz w:val="20"/>
      <w:szCs w:val="20"/>
    </w:rPr>
  </w:style>
  <w:style w:type="table" w:styleId="Tabelamrea">
    <w:name w:val="Table Grid"/>
    <w:basedOn w:val="Navadnatabela"/>
    <w:uiPriority w:val="99"/>
    <w:rsid w:val="00D90A83"/>
    <w:pPr>
      <w:spacing w:after="9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avaden"/>
    <w:uiPriority w:val="99"/>
    <w:rsid w:val="006F1F66"/>
    <w:pPr>
      <w:autoSpaceDE w:val="0"/>
      <w:autoSpaceDN w:val="0"/>
      <w:adjustRightInd w:val="0"/>
      <w:spacing w:after="0" w:line="288" w:lineRule="auto"/>
      <w:textAlignment w:val="center"/>
    </w:pPr>
    <w:rPr>
      <w:rFonts w:ascii="Arial" w:hAnsi="Arial"/>
      <w:color w:val="000000"/>
      <w:lang w:val="en-GB"/>
    </w:rPr>
  </w:style>
  <w:style w:type="character" w:customStyle="1" w:styleId="TAJDAPELICON">
    <w:name w:val="TAJDA PELICON"/>
    <w:uiPriority w:val="99"/>
    <w:semiHidden/>
    <w:rsid w:val="00A649B9"/>
    <w:rPr>
      <w:rFonts w:ascii="Arial" w:hAnsi="Arial"/>
      <w:color w:val="000080"/>
      <w:sz w:val="20"/>
    </w:rPr>
  </w:style>
  <w:style w:type="character" w:styleId="Hiperpovezava">
    <w:name w:val="Hyperlink"/>
    <w:basedOn w:val="Privzetapisavaodstavka"/>
    <w:uiPriority w:val="99"/>
    <w:rsid w:val="00B926A8"/>
    <w:rPr>
      <w:rFonts w:cs="Times New Roman"/>
      <w:color w:val="0000FF"/>
      <w:u w:val="single"/>
    </w:rPr>
  </w:style>
  <w:style w:type="character" w:customStyle="1" w:styleId="st">
    <w:name w:val="st"/>
    <w:basedOn w:val="Privzetapisavaodstavka"/>
    <w:uiPriority w:val="99"/>
    <w:rsid w:val="00771324"/>
    <w:rPr>
      <w:rFonts w:cs="Times New Roman"/>
    </w:rPr>
  </w:style>
  <w:style w:type="character" w:styleId="Poudarek">
    <w:name w:val="Emphasis"/>
    <w:basedOn w:val="Privzetapisavaodstavka"/>
    <w:uiPriority w:val="20"/>
    <w:qFormat/>
    <w:rsid w:val="00771324"/>
    <w:rPr>
      <w:rFonts w:cs="Times New Roman"/>
      <w:i/>
    </w:rPr>
  </w:style>
  <w:style w:type="paragraph" w:styleId="Golobesedilo">
    <w:name w:val="Plain Text"/>
    <w:basedOn w:val="Navaden"/>
    <w:link w:val="GolobesediloZnak"/>
    <w:uiPriority w:val="99"/>
    <w:rsid w:val="00956E56"/>
    <w:pPr>
      <w:spacing w:after="0"/>
    </w:pPr>
    <w:rPr>
      <w:rFonts w:ascii="Calibri" w:hAnsi="Calibri"/>
      <w:sz w:val="22"/>
      <w:szCs w:val="21"/>
      <w:lang w:eastAsia="en-US"/>
    </w:rPr>
  </w:style>
  <w:style w:type="character" w:customStyle="1" w:styleId="GolobesediloZnak">
    <w:name w:val="Golo besedilo Znak"/>
    <w:basedOn w:val="Privzetapisavaodstavka"/>
    <w:link w:val="Golobesedilo"/>
    <w:uiPriority w:val="99"/>
    <w:locked/>
    <w:rsid w:val="00956E56"/>
    <w:rPr>
      <w:rFonts w:ascii="Calibri" w:eastAsia="Times New Roman" w:hAnsi="Calibri" w:cs="Times New Roman"/>
      <w:sz w:val="21"/>
      <w:szCs w:val="21"/>
      <w:lang w:eastAsia="en-US"/>
    </w:rPr>
  </w:style>
  <w:style w:type="paragraph" w:styleId="Besedilooblaka">
    <w:name w:val="Balloon Text"/>
    <w:basedOn w:val="Navaden"/>
    <w:link w:val="BesedilooblakaZnak"/>
    <w:uiPriority w:val="99"/>
    <w:semiHidden/>
    <w:unhideWhenUsed/>
    <w:rsid w:val="00B45F35"/>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45F35"/>
    <w:rPr>
      <w:rFonts w:ascii="Segoe UI" w:hAnsi="Segoe UI" w:cs="Segoe UI"/>
      <w:sz w:val="18"/>
      <w:szCs w:val="18"/>
    </w:rPr>
  </w:style>
  <w:style w:type="character" w:styleId="Pripombasklic">
    <w:name w:val="annotation reference"/>
    <w:basedOn w:val="Privzetapisavaodstavka"/>
    <w:uiPriority w:val="99"/>
    <w:semiHidden/>
    <w:unhideWhenUsed/>
    <w:rsid w:val="00C92326"/>
    <w:rPr>
      <w:sz w:val="16"/>
      <w:szCs w:val="16"/>
    </w:rPr>
  </w:style>
  <w:style w:type="paragraph" w:styleId="Pripombabesedilo">
    <w:name w:val="annotation text"/>
    <w:basedOn w:val="Navaden"/>
    <w:link w:val="PripombabesediloZnak"/>
    <w:uiPriority w:val="99"/>
    <w:semiHidden/>
    <w:unhideWhenUsed/>
    <w:rsid w:val="00C92326"/>
    <w:rPr>
      <w:sz w:val="20"/>
      <w:szCs w:val="20"/>
    </w:rPr>
  </w:style>
  <w:style w:type="character" w:customStyle="1" w:styleId="PripombabesediloZnak">
    <w:name w:val="Pripomba – besedilo Znak"/>
    <w:basedOn w:val="Privzetapisavaodstavka"/>
    <w:link w:val="Pripombabesedilo"/>
    <w:uiPriority w:val="99"/>
    <w:semiHidden/>
    <w:rsid w:val="00C92326"/>
    <w:rPr>
      <w:rFonts w:ascii="Tahoma" w:hAnsi="Tahoma"/>
      <w:sz w:val="20"/>
      <w:szCs w:val="20"/>
    </w:rPr>
  </w:style>
  <w:style w:type="paragraph" w:styleId="Zadevapripombe">
    <w:name w:val="annotation subject"/>
    <w:basedOn w:val="Pripombabesedilo"/>
    <w:next w:val="Pripombabesedilo"/>
    <w:link w:val="ZadevapripombeZnak"/>
    <w:uiPriority w:val="99"/>
    <w:semiHidden/>
    <w:unhideWhenUsed/>
    <w:rsid w:val="00C92326"/>
    <w:rPr>
      <w:b/>
      <w:bCs/>
    </w:rPr>
  </w:style>
  <w:style w:type="character" w:customStyle="1" w:styleId="ZadevapripombeZnak">
    <w:name w:val="Zadeva pripombe Znak"/>
    <w:basedOn w:val="PripombabesediloZnak"/>
    <w:link w:val="Zadevapripombe"/>
    <w:uiPriority w:val="99"/>
    <w:semiHidden/>
    <w:rsid w:val="00C92326"/>
    <w:rPr>
      <w:rFonts w:ascii="Tahoma" w:hAnsi="Tahoma"/>
      <w:b/>
      <w:bCs/>
      <w:sz w:val="20"/>
      <w:szCs w:val="20"/>
    </w:rPr>
  </w:style>
  <w:style w:type="paragraph" w:styleId="Odstavekseznama">
    <w:name w:val="List Paragraph"/>
    <w:basedOn w:val="Navaden"/>
    <w:uiPriority w:val="34"/>
    <w:qFormat/>
    <w:rsid w:val="00F56533"/>
    <w:pPr>
      <w:spacing w:after="160" w:line="252" w:lineRule="auto"/>
      <w:ind w:left="720"/>
      <w:contextualSpacing/>
    </w:pPr>
    <w:rPr>
      <w:rFonts w:ascii="Calibri" w:eastAsiaTheme="minorHAnsi" w:hAnsi="Calibri"/>
      <w:sz w:val="22"/>
      <w:szCs w:val="22"/>
      <w:lang w:eastAsia="en-US"/>
    </w:rPr>
  </w:style>
  <w:style w:type="table" w:styleId="Navadnatabela1">
    <w:name w:val="Plain Table 1"/>
    <w:basedOn w:val="Navadnatabela"/>
    <w:uiPriority w:val="41"/>
    <w:rsid w:val="00AE272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Privzetapisavaodstavka"/>
    <w:rsid w:val="007444C8"/>
  </w:style>
  <w:style w:type="character" w:styleId="Krepko">
    <w:name w:val="Strong"/>
    <w:basedOn w:val="Privzetapisavaodstavka"/>
    <w:uiPriority w:val="22"/>
    <w:qFormat/>
    <w:locked/>
    <w:rsid w:val="003B3D2E"/>
    <w:rPr>
      <w:b/>
      <w:bCs/>
    </w:rPr>
  </w:style>
  <w:style w:type="character" w:customStyle="1" w:styleId="lexitem">
    <w:name w:val="lexitem"/>
    <w:basedOn w:val="Privzetapisavaodstavka"/>
    <w:rsid w:val="00B11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073394">
      <w:bodyDiv w:val="1"/>
      <w:marLeft w:val="0"/>
      <w:marRight w:val="0"/>
      <w:marTop w:val="0"/>
      <w:marBottom w:val="0"/>
      <w:divBdr>
        <w:top w:val="none" w:sz="0" w:space="0" w:color="auto"/>
        <w:left w:val="none" w:sz="0" w:space="0" w:color="auto"/>
        <w:bottom w:val="none" w:sz="0" w:space="0" w:color="auto"/>
        <w:right w:val="none" w:sz="0" w:space="0" w:color="auto"/>
      </w:divBdr>
    </w:div>
    <w:div w:id="1604142968">
      <w:bodyDiv w:val="1"/>
      <w:marLeft w:val="0"/>
      <w:marRight w:val="0"/>
      <w:marTop w:val="0"/>
      <w:marBottom w:val="0"/>
      <w:divBdr>
        <w:top w:val="none" w:sz="0" w:space="0" w:color="auto"/>
        <w:left w:val="none" w:sz="0" w:space="0" w:color="auto"/>
        <w:bottom w:val="none" w:sz="0" w:space="0" w:color="auto"/>
        <w:right w:val="none" w:sz="0" w:space="0" w:color="auto"/>
      </w:divBdr>
    </w:div>
    <w:div w:id="2107579502">
      <w:marLeft w:val="0"/>
      <w:marRight w:val="0"/>
      <w:marTop w:val="0"/>
      <w:marBottom w:val="0"/>
      <w:divBdr>
        <w:top w:val="none" w:sz="0" w:space="0" w:color="auto"/>
        <w:left w:val="none" w:sz="0" w:space="0" w:color="auto"/>
        <w:bottom w:val="none" w:sz="0" w:space="0" w:color="auto"/>
        <w:right w:val="none" w:sz="0" w:space="0" w:color="auto"/>
      </w:divBdr>
      <w:divsChild>
        <w:div w:id="2107579504">
          <w:marLeft w:val="0"/>
          <w:marRight w:val="0"/>
          <w:marTop w:val="0"/>
          <w:marBottom w:val="0"/>
          <w:divBdr>
            <w:top w:val="none" w:sz="0" w:space="0" w:color="auto"/>
            <w:left w:val="none" w:sz="0" w:space="0" w:color="auto"/>
            <w:bottom w:val="none" w:sz="0" w:space="0" w:color="auto"/>
            <w:right w:val="none" w:sz="0" w:space="0" w:color="auto"/>
          </w:divBdr>
          <w:divsChild>
            <w:div w:id="2107579507">
              <w:marLeft w:val="0"/>
              <w:marRight w:val="0"/>
              <w:marTop w:val="111"/>
              <w:marBottom w:val="0"/>
              <w:divBdr>
                <w:top w:val="single" w:sz="6" w:space="6" w:color="666666"/>
                <w:left w:val="none" w:sz="0" w:space="0" w:color="auto"/>
                <w:bottom w:val="none" w:sz="0" w:space="0" w:color="auto"/>
                <w:right w:val="none" w:sz="0" w:space="0" w:color="auto"/>
              </w:divBdr>
            </w:div>
          </w:divsChild>
        </w:div>
      </w:divsChild>
    </w:div>
    <w:div w:id="2107579503">
      <w:marLeft w:val="0"/>
      <w:marRight w:val="0"/>
      <w:marTop w:val="0"/>
      <w:marBottom w:val="0"/>
      <w:divBdr>
        <w:top w:val="none" w:sz="0" w:space="0" w:color="auto"/>
        <w:left w:val="none" w:sz="0" w:space="0" w:color="auto"/>
        <w:bottom w:val="none" w:sz="0" w:space="0" w:color="auto"/>
        <w:right w:val="none" w:sz="0" w:space="0" w:color="auto"/>
      </w:divBdr>
    </w:div>
    <w:div w:id="2107579505">
      <w:marLeft w:val="0"/>
      <w:marRight w:val="0"/>
      <w:marTop w:val="0"/>
      <w:marBottom w:val="0"/>
      <w:divBdr>
        <w:top w:val="none" w:sz="0" w:space="0" w:color="auto"/>
        <w:left w:val="none" w:sz="0" w:space="0" w:color="auto"/>
        <w:bottom w:val="none" w:sz="0" w:space="0" w:color="auto"/>
        <w:right w:val="none" w:sz="0" w:space="0" w:color="auto"/>
      </w:divBdr>
    </w:div>
    <w:div w:id="2107579506">
      <w:marLeft w:val="0"/>
      <w:marRight w:val="0"/>
      <w:marTop w:val="0"/>
      <w:marBottom w:val="0"/>
      <w:divBdr>
        <w:top w:val="none" w:sz="0" w:space="0" w:color="auto"/>
        <w:left w:val="none" w:sz="0" w:space="0" w:color="auto"/>
        <w:bottom w:val="none" w:sz="0" w:space="0" w:color="auto"/>
        <w:right w:val="none" w:sz="0" w:space="0" w:color="auto"/>
      </w:divBdr>
    </w:div>
    <w:div w:id="21075795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tiff"/><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FD72927-5993-4F6B-B15C-9E7D1B86B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481</Words>
  <Characters>2585</Characters>
  <Application>Microsoft Office Word</Application>
  <DocSecurity>0</DocSecurity>
  <Lines>21</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Gospodarska Zbornica Slovenije</Company>
  <LinksUpToDate>false</LinksUpToDate>
  <CharactersWithSpaces>3060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Tajda Pelicon</cp:lastModifiedBy>
  <cp:revision>3</cp:revision>
  <cp:lastPrinted>2016-02-04T14:34:00Z</cp:lastPrinted>
  <dcterms:created xsi:type="dcterms:W3CDTF">2016-05-03T14:07:00Z</dcterms:created>
  <dcterms:modified xsi:type="dcterms:W3CDTF">2016-05-03T14:09:00Z</dcterms:modified>
</cp:coreProperties>
</file>